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(Текст)</w:t>
      </w:r>
    </w:p>
    <w:p w:rsidR="00BE7059" w:rsidRDefault="00BE7059" w:rsidP="00BE70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Меморандум о взаимопонимании по проекту «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Кумтор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» между Правительством Кыргызской Республики, ОАО «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Кыргызалтын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», компанией  «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CenterraGoldInc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 »</w:t>
      </w:r>
    </w:p>
    <w:p w:rsidR="00BE7059" w:rsidRDefault="00BE7059" w:rsidP="00BE70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(РУКОВОДЯЩИЕ ПРИНЦИПЫ)</w:t>
      </w:r>
    </w:p>
    <w:p w:rsidR="00BE7059" w:rsidRDefault="00BE7059" w:rsidP="00BE70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 СЕНТЯБРЯ 2013 г., г. Бишкек, Кыргызская Республика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Правительство Кыргызской Республики (далее «Правительство»), ОАО «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</w:t>
      </w:r>
      <w:proofErr w:type="spellEnd"/>
      <w:r>
        <w:rPr>
          <w:rFonts w:ascii="Verdana" w:hAnsi="Verdana"/>
          <w:color w:val="000000"/>
          <w:sz w:val="18"/>
          <w:szCs w:val="18"/>
        </w:rPr>
        <w:t>» (далее «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</w:t>
      </w:r>
      <w:proofErr w:type="spellEnd"/>
      <w:r>
        <w:rPr>
          <w:rFonts w:ascii="Verdana" w:hAnsi="Verdana"/>
          <w:color w:val="000000"/>
          <w:sz w:val="18"/>
          <w:szCs w:val="18"/>
        </w:rPr>
        <w:t>», а коллективно с Правительством – Кыргызская Сторона») и руководство компании «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Голд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Инк» (далее «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»), проведя прямые и открытые дискуссии с февраля 2013 года по отношению к реструктуризации доли акций 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чтобы обеспечить 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прямое участие в руднике «</w:t>
      </w:r>
      <w:proofErr w:type="spellStart"/>
      <w:r>
        <w:rPr>
          <w:rFonts w:ascii="Verdana" w:hAnsi="Verdana"/>
          <w:color w:val="000000"/>
          <w:sz w:val="18"/>
          <w:szCs w:val="18"/>
        </w:rPr>
        <w:t>Кумтор</w:t>
      </w:r>
      <w:proofErr w:type="spellEnd"/>
      <w:r>
        <w:rPr>
          <w:rFonts w:ascii="Verdana" w:hAnsi="Verdana"/>
          <w:color w:val="000000"/>
          <w:sz w:val="18"/>
          <w:szCs w:val="18"/>
        </w:rPr>
        <w:t>», согласились принять принципы, изложенные в настоящем Меморандуме, в качестве основы для дальнейших переговоров</w:t>
      </w:r>
      <w:proofErr w:type="gramEnd"/>
      <w:r>
        <w:rPr>
          <w:rFonts w:ascii="Verdana" w:hAnsi="Verdana"/>
          <w:color w:val="000000"/>
          <w:sz w:val="18"/>
          <w:szCs w:val="18"/>
        </w:rPr>
        <w:t>, поскольку они стремятся достичь окончательного соглашения.</w:t>
      </w:r>
    </w:p>
    <w:p w:rsidR="00BE7059" w:rsidRDefault="00BE7059" w:rsidP="00BE7059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Реструктуризация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1.1.         Стороны предлагают создать совместное предприятие на территории Кыргызской Республики, в соответствии с законодательством Кыргызской Республики, между 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качестве полноправных партнёров. В результате этой реструктуризации, Кыргызская Республика ожидает получать выгоду непосредственно из прибыли рудника «</w:t>
      </w:r>
      <w:proofErr w:type="spellStart"/>
      <w:r>
        <w:rPr>
          <w:rFonts w:ascii="Verdana" w:hAnsi="Verdana"/>
          <w:color w:val="000000"/>
          <w:sz w:val="18"/>
          <w:szCs w:val="18"/>
        </w:rPr>
        <w:t>Кумтор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». Результатом прямого участия, как ожидается, будет существенное увеличение потока денежных средств в Кыргызскую Республику с 2014 года.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выразила готовность провести указанную реструктуризацию, на том основании, что к другим её акционерам отнесутся справедливо, как того требует закон Канады. Реструктуризацию должны определять следующие принципы: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1.2.         Как Кыргызская сторона, так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будут иметь по 50% собственности Совместного предприятия;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1.3.         Как Кыргызская сторона, так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назначат в Совет Директоров  по половине членов Совета;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1.4.         Кыргызская сторона назначит Председателя Совета Директоров;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1.5.        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назначит Вице-Председателя Совета Директоров;</w:t>
      </w:r>
      <w:bookmarkStart w:id="0" w:name="_GoBack"/>
      <w:bookmarkEnd w:id="0"/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1.6.         Основные решения Совместного предприятия будут подлежать обсуждению и одобрению Советом Директоров. Кыргызская сторона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должны стремиться к принятию решений по всем важным вопросам на основе консенсуса.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1.7.        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Совместное предприятие заключит операционное соглашение с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Центеррой</w:t>
      </w:r>
      <w:proofErr w:type="spellEnd"/>
      <w:r>
        <w:rPr>
          <w:rFonts w:ascii="Verdana" w:hAnsi="Verdana"/>
          <w:color w:val="000000"/>
          <w:sz w:val="18"/>
          <w:szCs w:val="18"/>
        </w:rPr>
        <w:t>, которое будет содержать условия и положения, обычные для таких соглашений, в том числе требования, что рудник должен работать в соответствии с законами и нормативными актами Кыргызской Республики, соглашениями, регулирующими работу проекта («Соглашения»), и в соответствии с международными стандартами горной промышленности, а также обычными положениями о расторжении (среди прочего, предусматривающими расторжение соглашения, в случае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существенных неисправленных нарушений закона, экологических требований, передовой международной практики, а также в случае невыполнения ключевых контрольных показателей, утвержденных планов, являющиеся предметом обычных положений об уведомлении, исправлении и арбитраже). Операционное соглашение должно включать положения о компенсации за услуги, предоставляемые оператором и 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1.8.         Все назначения подлежат соответствующему процессу рассмотрения и одобрения со стороны Совета Директоров. При этом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Кыргызская сторона будет назначать руководителя высшего звена Совместного Предприятия, а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будет назначать остальных руководителей.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1.9.         В процессе реструктуризации Стороны будут сотрудничать в целях удовлетворения требований законов Кыргызской Республики и Канады.</w:t>
      </w:r>
    </w:p>
    <w:p w:rsidR="00BE7059" w:rsidRDefault="00BE7059" w:rsidP="00BE7059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Финансовые положения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2.1.         Кыргызская сторона обменивает свою долю в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прямое участие в руднике </w:t>
      </w:r>
      <w:proofErr w:type="spellStart"/>
      <w:r>
        <w:rPr>
          <w:rFonts w:ascii="Verdana" w:hAnsi="Verdana"/>
          <w:color w:val="000000"/>
          <w:sz w:val="18"/>
          <w:szCs w:val="18"/>
        </w:rPr>
        <w:t>Кумтор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2.2.         Проявляя добрую волю для дальнейшего сотрудничества в интересах развития Совместного предприятия, Стороны проработают вопрос сохранения за кыргызской стороной одного места в Совете директоров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Центерры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2.3.         В целях приравнивания существующей доли кыргызской стороны в компании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 50%-доли в Совместном предприятии будет применяться механизм корректировки будущих дивидендов 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сумму в 100 млн. долларов США на период 10 лет. На сумму </w:t>
      </w:r>
      <w:r>
        <w:rPr>
          <w:rFonts w:ascii="Verdana" w:hAnsi="Verdana"/>
          <w:color w:val="000000"/>
          <w:sz w:val="18"/>
          <w:szCs w:val="18"/>
        </w:rPr>
        <w:lastRenderedPageBreak/>
        <w:t>выравнивания будет начисляться соответствующая процентная ставка. В первый год (2014 г.) указанной корректировке подлежит только процентная ставка.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2.4.         Для того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чтобы Кыргызская сторона получила выгоду от роста стоимости цены акций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течение двух лет после реструктуризации, Кыргызской стороне будет безвозмездно выделено 6 млн. варрантов (что составит 3.8 процентов акций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после реструктуризации) по цене 10 канадских долларов за акцию на срок в два года.</w:t>
      </w:r>
    </w:p>
    <w:p w:rsidR="00BE7059" w:rsidRDefault="00BE7059" w:rsidP="00BE7059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Положения о защите окружающей среды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3.1.         Стороны подтверждают свою приверженность, что рудник </w:t>
      </w:r>
      <w:proofErr w:type="spellStart"/>
      <w:r>
        <w:rPr>
          <w:rFonts w:ascii="Verdana" w:hAnsi="Verdana"/>
          <w:color w:val="000000"/>
          <w:sz w:val="18"/>
          <w:szCs w:val="18"/>
        </w:rPr>
        <w:t>Кумтор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должен эксплуатироваться в соответствии с природоохранным законодательством Кыргызской Республики и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и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требованиями, изложенными в п.1.7. Следующие принципы должны определять решение спорных экологических вопросов: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3.2.         Рекомендации, сделанные международными консультантами Правительства в области экологии, компанией «АМЕК», будут осуществляться после консультаций с компанией «АМЕК», по согласованию между Кыргызской Республикой 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Центеррой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3.3.         Вопросы по существующим экологическим искам, предъявляемым органами Кыргызской Республики, должны быть разрешены с учётом реализации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рекомендаций компании АМЕК, в соответствии с законами и процедурами Кыргызской Республики. (Окончательное разрешение этих экологических вопросов будет отражено в окончательном соглашении).</w:t>
      </w:r>
    </w:p>
    <w:p w:rsidR="00BE7059" w:rsidRDefault="00BE7059" w:rsidP="00BE7059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Фискальные положения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4.1.         Соответствующие положения соглашения в части налогообложения по проекту «</w:t>
      </w:r>
      <w:proofErr w:type="spellStart"/>
      <w:r>
        <w:rPr>
          <w:rFonts w:ascii="Verdana" w:hAnsi="Verdana"/>
          <w:color w:val="000000"/>
          <w:sz w:val="18"/>
          <w:szCs w:val="18"/>
        </w:rPr>
        <w:t>Кумтор</w:t>
      </w:r>
      <w:proofErr w:type="spellEnd"/>
      <w:r>
        <w:rPr>
          <w:rFonts w:ascii="Verdana" w:hAnsi="Verdana"/>
          <w:color w:val="000000"/>
          <w:sz w:val="18"/>
          <w:szCs w:val="18"/>
        </w:rPr>
        <w:t>» остаются в силе, с учетом положений настоящего Меморандума.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4.2.         Должен быть проведён независимый аудит годовой уплаты налогов в размере 4 процентов от валового дохода, зачитываемого в счёт капитальных затрат и расходов на геологоразведочные работы.</w:t>
      </w:r>
    </w:p>
    <w:p w:rsidR="00BE7059" w:rsidRDefault="00BE7059" w:rsidP="00BE7059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Прозрачность и обязательство бороться с коррупцией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5.1.         Все договорённости будут достигаться с пониманием того, что они должны быть предметом публичного раскрытия информации в Кыргызской Республике и Канаде, и что только открытые соглашения или обязательства могут быть сделаны или рассмотрены.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5.2.         Совместное предприятие должно быть создано и работать в строгом соответствии с законами Кыргызской Республики, Канады и других применимых юрисдикций, касательно коррупции и общественного контроля. Стороны подтверждают, что никаких выплат или выгод любого рода не предусмотрено, кроме тех, которые раскрыты в самих соглашениях.</w:t>
      </w:r>
    </w:p>
    <w:p w:rsidR="00BE7059" w:rsidRDefault="00BE7059" w:rsidP="00BE7059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Вступление в силу условий Меморандума.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6.1.         Условия настоящего Меморандума вступают в силу и реализуются после их одобрения Правительством Кыргызской Республики, </w:t>
      </w:r>
      <w:proofErr w:type="spellStart"/>
      <w:r>
        <w:rPr>
          <w:rFonts w:ascii="Verdana" w:hAnsi="Verdana"/>
          <w:color w:val="000000"/>
          <w:sz w:val="18"/>
          <w:szCs w:val="18"/>
        </w:rPr>
        <w:t>Жогорку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Кенешем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Кыргызской Республики, Советом директоров </w:t>
      </w:r>
      <w:proofErr w:type="spellStart"/>
      <w:r>
        <w:rPr>
          <w:rFonts w:ascii="Verdana" w:hAnsi="Verdana"/>
          <w:color w:val="000000"/>
          <w:sz w:val="18"/>
          <w:szCs w:val="18"/>
        </w:rPr>
        <w:t>Кыргызалтына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Советом директоров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акционерами </w:t>
      </w:r>
      <w:proofErr w:type="spellStart"/>
      <w:r>
        <w:rPr>
          <w:rFonts w:ascii="Verdana" w:hAnsi="Verdana"/>
          <w:color w:val="000000"/>
          <w:sz w:val="18"/>
          <w:szCs w:val="18"/>
        </w:rPr>
        <w:t>Центерры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соответствующими регулятивными органами Канады. Ничего, из содержащегося в настоящем Меморандуме, не будет пониматься как умаляющее права и полномочия этих органов, чей реальный контроль процесса принятия решений полностью признан.</w:t>
      </w:r>
    </w:p>
    <w:p w:rsidR="00BE7059" w:rsidRDefault="00BE7059" w:rsidP="00BE7059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7/</w:t>
      </w:r>
      <w:r>
        <w:rPr>
          <w:rFonts w:ascii="Verdana" w:hAnsi="Verdana"/>
          <w:color w:val="000000"/>
          <w:sz w:val="18"/>
          <w:szCs w:val="18"/>
          <w:u w:val="single"/>
        </w:rPr>
        <w:t>Язык Меморандума</w:t>
      </w:r>
    </w:p>
    <w:p w:rsidR="00BE7059" w:rsidRDefault="00BE7059" w:rsidP="00BE705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Меморандум составлен на русском и английском языках. При возникновении разночтений двух текстов Меморандума Стороны будут проводить консультации с тем, чтобы сблизить понимание по возникшему вопросу.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BE7059" w:rsidTr="00BE7059">
        <w:trPr>
          <w:tblCellSpacing w:w="0" w:type="dxa"/>
        </w:trPr>
        <w:tc>
          <w:tcPr>
            <w:tcW w:w="4620" w:type="dxa"/>
            <w:shd w:val="clear" w:color="auto" w:fill="FFFFFF"/>
            <w:hideMark/>
          </w:tcPr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Правительство Кыргызской Республики</w:t>
            </w:r>
          </w:p>
        </w:tc>
        <w:tc>
          <w:tcPr>
            <w:tcW w:w="4620" w:type="dxa"/>
            <w:shd w:val="clear" w:color="auto" w:fill="FFFFFF"/>
            <w:hideMark/>
          </w:tcPr>
          <w:p w:rsidR="00BE7059" w:rsidRDefault="00BE705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Центерра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Голд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Инк»</w:t>
            </w:r>
          </w:p>
        </w:tc>
      </w:tr>
      <w:tr w:rsidR="00BE7059" w:rsidTr="00BE7059">
        <w:trPr>
          <w:tblCellSpacing w:w="0" w:type="dxa"/>
        </w:trPr>
        <w:tc>
          <w:tcPr>
            <w:tcW w:w="4620" w:type="dxa"/>
            <w:shd w:val="clear" w:color="auto" w:fill="FFFFFF"/>
            <w:hideMark/>
          </w:tcPr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__________________________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Ж.Ж.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Сатыбалдиев</w:t>
            </w:r>
            <w:proofErr w:type="spellEnd"/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Премьер-министр Кыргызской Республики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ОАО «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Кыргызалтын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______________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Д.Жапаров</w:t>
            </w:r>
            <w:proofErr w:type="spellEnd"/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Председатель Правления</w:t>
            </w:r>
          </w:p>
        </w:tc>
        <w:tc>
          <w:tcPr>
            <w:tcW w:w="4620" w:type="dxa"/>
            <w:shd w:val="clear" w:color="auto" w:fill="FFFFFF"/>
            <w:hideMark/>
          </w:tcPr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_____________________________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Ян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Аткинсон</w:t>
            </w:r>
            <w:proofErr w:type="spellEnd"/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Президент и главный исполнительный директор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________________________________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Фрэнк Герберт</w:t>
            </w:r>
          </w:p>
          <w:p w:rsidR="00BE7059" w:rsidRDefault="00BE7059">
            <w:pPr>
              <w:pStyle w:val="a3"/>
              <w:spacing w:before="0" w:beforeAutospacing="0" w:after="15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Главный юрисконсульт и корпоративный секретарь</w:t>
            </w:r>
          </w:p>
        </w:tc>
      </w:tr>
    </w:tbl>
    <w:p w:rsidR="00AC4C87" w:rsidRPr="00BE7059" w:rsidRDefault="00AC4C87" w:rsidP="00BE7059"/>
    <w:sectPr w:rsidR="00AC4C87" w:rsidRPr="00BE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5A0"/>
    <w:multiLevelType w:val="multilevel"/>
    <w:tmpl w:val="BB0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3E74"/>
    <w:multiLevelType w:val="multilevel"/>
    <w:tmpl w:val="507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95801"/>
    <w:multiLevelType w:val="multilevel"/>
    <w:tmpl w:val="CBA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7451C"/>
    <w:multiLevelType w:val="multilevel"/>
    <w:tmpl w:val="F1CE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D1821"/>
    <w:multiLevelType w:val="multilevel"/>
    <w:tmpl w:val="A3FA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867C5"/>
    <w:multiLevelType w:val="multilevel"/>
    <w:tmpl w:val="80DC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9"/>
    <w:rsid w:val="00005858"/>
    <w:rsid w:val="0001750B"/>
    <w:rsid w:val="00021F27"/>
    <w:rsid w:val="000A09FD"/>
    <w:rsid w:val="000D75F0"/>
    <w:rsid w:val="000E563C"/>
    <w:rsid w:val="000F565D"/>
    <w:rsid w:val="00100ED9"/>
    <w:rsid w:val="00160D81"/>
    <w:rsid w:val="0019092E"/>
    <w:rsid w:val="0019164C"/>
    <w:rsid w:val="001C3B42"/>
    <w:rsid w:val="001C6C3E"/>
    <w:rsid w:val="002A50FB"/>
    <w:rsid w:val="002B3A96"/>
    <w:rsid w:val="00316090"/>
    <w:rsid w:val="00356F7D"/>
    <w:rsid w:val="00414242"/>
    <w:rsid w:val="00415D1A"/>
    <w:rsid w:val="004D1479"/>
    <w:rsid w:val="004D7605"/>
    <w:rsid w:val="005101DD"/>
    <w:rsid w:val="005162D0"/>
    <w:rsid w:val="00532EB3"/>
    <w:rsid w:val="005606B5"/>
    <w:rsid w:val="005A3C73"/>
    <w:rsid w:val="005D79D1"/>
    <w:rsid w:val="005F7CD0"/>
    <w:rsid w:val="006521CC"/>
    <w:rsid w:val="006571BD"/>
    <w:rsid w:val="00676869"/>
    <w:rsid w:val="006842C3"/>
    <w:rsid w:val="006959F3"/>
    <w:rsid w:val="00744C70"/>
    <w:rsid w:val="007F3AE8"/>
    <w:rsid w:val="008131D3"/>
    <w:rsid w:val="00855476"/>
    <w:rsid w:val="00860D11"/>
    <w:rsid w:val="008E025A"/>
    <w:rsid w:val="009057DE"/>
    <w:rsid w:val="009212EC"/>
    <w:rsid w:val="00940696"/>
    <w:rsid w:val="00945DB5"/>
    <w:rsid w:val="009B4DED"/>
    <w:rsid w:val="009D5034"/>
    <w:rsid w:val="00A051D7"/>
    <w:rsid w:val="00A060E7"/>
    <w:rsid w:val="00AB1F6C"/>
    <w:rsid w:val="00AC4C87"/>
    <w:rsid w:val="00AE18F2"/>
    <w:rsid w:val="00B608B8"/>
    <w:rsid w:val="00B91906"/>
    <w:rsid w:val="00B976FD"/>
    <w:rsid w:val="00BE4929"/>
    <w:rsid w:val="00BE7059"/>
    <w:rsid w:val="00BF6530"/>
    <w:rsid w:val="00C7170A"/>
    <w:rsid w:val="00CE3EF9"/>
    <w:rsid w:val="00ED6280"/>
    <w:rsid w:val="00EE466C"/>
    <w:rsid w:val="00F136B8"/>
    <w:rsid w:val="00F44DC2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Б"/>
    <w:next w:val="1"/>
    <w:qFormat/>
    <w:rsid w:val="002B3A96"/>
    <w:pPr>
      <w:spacing w:line="240" w:lineRule="auto"/>
    </w:pPr>
    <w:rPr>
      <w:color w:val="404040" w:themeColor="text1" w:themeTint="BF"/>
      <w:sz w:val="24"/>
    </w:rPr>
  </w:style>
  <w:style w:type="paragraph" w:styleId="1">
    <w:name w:val="heading 1"/>
    <w:basedOn w:val="a"/>
    <w:next w:val="a"/>
    <w:link w:val="10"/>
    <w:uiPriority w:val="9"/>
    <w:qFormat/>
    <w:rsid w:val="002B3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E70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Б"/>
    <w:next w:val="1"/>
    <w:qFormat/>
    <w:rsid w:val="002B3A96"/>
    <w:pPr>
      <w:spacing w:line="240" w:lineRule="auto"/>
    </w:pPr>
    <w:rPr>
      <w:color w:val="404040" w:themeColor="text1" w:themeTint="BF"/>
      <w:sz w:val="24"/>
    </w:rPr>
  </w:style>
  <w:style w:type="paragraph" w:styleId="1">
    <w:name w:val="heading 1"/>
    <w:basedOn w:val="a"/>
    <w:next w:val="a"/>
    <w:link w:val="10"/>
    <w:uiPriority w:val="9"/>
    <w:qFormat/>
    <w:rsid w:val="002B3A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E70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2013-09-10T11:53:00Z</dcterms:created>
  <dcterms:modified xsi:type="dcterms:W3CDTF">2013-09-10T12:02:00Z</dcterms:modified>
</cp:coreProperties>
</file>